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13DB" w14:textId="676BD4F1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D20765">
        <w:rPr>
          <w:rFonts w:ascii="Arial" w:hAnsi="Arial" w:cs="Arial"/>
          <w:b/>
        </w:rPr>
        <w:t>4-e</w:t>
      </w:r>
      <w:r w:rsidRPr="000A1C77">
        <w:rPr>
          <w:rFonts w:ascii="Arial" w:hAnsi="Arial" w:cs="Arial"/>
          <w:b/>
        </w:rPr>
        <w:tab/>
        <w:t>S6-</w:t>
      </w:r>
      <w:r w:rsidR="007F0F56">
        <w:rPr>
          <w:rFonts w:ascii="Arial" w:hAnsi="Arial" w:cs="Arial"/>
          <w:b/>
        </w:rPr>
        <w:t>23</w:t>
      </w:r>
      <w:r w:rsidR="00A546FD">
        <w:rPr>
          <w:rFonts w:ascii="Arial" w:hAnsi="Arial" w:cs="Arial"/>
          <w:b/>
        </w:rPr>
        <w:t>1</w:t>
      </w:r>
      <w:r w:rsidR="00DD655B">
        <w:rPr>
          <w:rFonts w:ascii="Arial" w:hAnsi="Arial" w:cs="Arial"/>
          <w:b/>
        </w:rPr>
        <w:t>508</w:t>
      </w:r>
    </w:p>
    <w:p w14:paraId="718AA221" w14:textId="60044CE2" w:rsidR="003C2CC6" w:rsidRDefault="00D20765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eMeeting</w:t>
      </w:r>
      <w:proofErr w:type="spellEnd"/>
      <w:r w:rsidR="003C2CC6"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="003C2CC6">
        <w:rPr>
          <w:rFonts w:ascii="Arial" w:hAnsi="Arial" w:cs="Arial"/>
          <w:b/>
        </w:rPr>
        <w:t>7</w:t>
      </w:r>
      <w:r w:rsidR="003C2CC6" w:rsidRPr="00726946">
        <w:rPr>
          <w:rFonts w:ascii="Arial" w:hAnsi="Arial" w:cs="Arial"/>
          <w:b/>
          <w:vertAlign w:val="superscript"/>
        </w:rPr>
        <w:t>th</w:t>
      </w:r>
      <w:r w:rsidR="003C2CC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April </w:t>
      </w:r>
      <w:r w:rsidR="003C2CC6"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26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April </w:t>
      </w:r>
      <w:r w:rsidR="003C2CC6" w:rsidRPr="00135915">
        <w:rPr>
          <w:rFonts w:ascii="Arial" w:hAnsi="Arial" w:cs="Arial"/>
          <w:b/>
        </w:rPr>
        <w:t>202</w:t>
      </w:r>
      <w:r w:rsidR="003C2CC6">
        <w:rPr>
          <w:rFonts w:ascii="Arial" w:hAnsi="Arial" w:cs="Arial"/>
          <w:b/>
        </w:rPr>
        <w:t>3</w:t>
      </w:r>
      <w:r w:rsidR="003C2CC6">
        <w:rPr>
          <w:rFonts w:ascii="Arial" w:hAnsi="Arial" w:cs="Arial"/>
          <w:b/>
        </w:rPr>
        <w:tab/>
      </w:r>
      <w:r w:rsidR="00DD655B">
        <w:rPr>
          <w:rFonts w:ascii="Arial" w:hAnsi="Arial" w:cs="Arial"/>
          <w:b/>
        </w:rPr>
        <w:t>(revision of S6-231163)</w:t>
      </w:r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0FAC3BCD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76ED923F" w14:textId="445881CD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C258F">
        <w:rPr>
          <w:rFonts w:ascii="Arial" w:hAnsi="Arial" w:cs="Arial"/>
          <w:b/>
          <w:bCs/>
        </w:rPr>
        <w:t>Resolve EN for ETSI ISG MEC Figure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77777777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77777777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B4287D2" w14:textId="1413B980" w:rsidR="003C2CC6" w:rsidRDefault="001C24A9" w:rsidP="003C2CC6">
      <w:pPr>
        <w:rPr>
          <w:noProof/>
          <w:lang w:val="fr-FR"/>
        </w:rPr>
      </w:pPr>
      <w:r w:rsidRPr="001C24A9">
        <w:rPr>
          <w:noProof/>
          <w:lang w:val="fr-FR"/>
        </w:rPr>
        <w:t xml:space="preserve">This </w:t>
      </w:r>
      <w:r w:rsidR="00C11956">
        <w:rPr>
          <w:noProof/>
          <w:lang w:val="fr-FR"/>
        </w:rPr>
        <w:t>p</w:t>
      </w:r>
      <w:r w:rsidRPr="001C24A9">
        <w:rPr>
          <w:noProof/>
          <w:lang w:val="fr-FR"/>
        </w:rPr>
        <w:t xml:space="preserve">CR provides </w:t>
      </w:r>
      <w:r w:rsidR="006E0AFA">
        <w:rPr>
          <w:noProof/>
          <w:lang w:val="fr-FR"/>
        </w:rPr>
        <w:t xml:space="preserve">resolutoin for EN about copying figures from ETSI MEC. As per the current process, 3GPP can copy the figures from ETSI </w:t>
      </w:r>
      <w:r w:rsidR="00CF3F98">
        <w:rPr>
          <w:noProof/>
          <w:lang w:val="fr-FR"/>
        </w:rPr>
        <w:t>specification with proper citation in its document.</w:t>
      </w:r>
    </w:p>
    <w:p w14:paraId="1261308D" w14:textId="77777777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590399C" w14:textId="045A4E86" w:rsidR="003C2CC6" w:rsidRPr="00EA50B2" w:rsidRDefault="00C11956" w:rsidP="00C11956">
      <w:pPr>
        <w:rPr>
          <w:noProof/>
          <w:lang w:val="fr-FR"/>
        </w:rPr>
      </w:pPr>
      <w:r w:rsidRPr="00C11956">
        <w:rPr>
          <w:noProof/>
          <w:lang w:val="fr-FR"/>
        </w:rPr>
        <w:t>Th</w:t>
      </w:r>
      <w:r w:rsidR="00CF3F98">
        <w:rPr>
          <w:noProof/>
          <w:lang w:val="fr-FR"/>
        </w:rPr>
        <w:t>e current TR has an EN about copying the figure from ETSI MEC images</w:t>
      </w:r>
      <w:r w:rsidR="00AC7FE3">
        <w:rPr>
          <w:noProof/>
          <w:lang w:val="fr-FR"/>
        </w:rPr>
        <w:t>. This pCR provide resolution to that EN.</w:t>
      </w:r>
      <w:r w:rsidR="003C2CC6" w:rsidRPr="00EA50B2">
        <w:rPr>
          <w:noProof/>
          <w:lang w:val="fr-FR"/>
        </w:rPr>
        <w:t xml:space="preserve"> </w:t>
      </w:r>
    </w:p>
    <w:p w14:paraId="66AA6C99" w14:textId="77777777" w:rsidR="003C2CC6" w:rsidRDefault="003C2CC6" w:rsidP="003C2CC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7AEF0E0B" w:rsidR="003C2CC6" w:rsidRPr="008A5E86" w:rsidRDefault="003C2CC6" w:rsidP="003C2CC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0" w:name="_Toc105715092"/>
      <w:r w:rsidRPr="00AD7C61">
        <w:rPr>
          <w:noProof/>
          <w:color w:val="0000FF"/>
          <w:lang w:val="en-US"/>
        </w:rPr>
        <w:t>* * * Change 1 * * * *</w:t>
      </w:r>
    </w:p>
    <w:p w14:paraId="7F7FDA58" w14:textId="77777777" w:rsidR="00B503EC" w:rsidRDefault="00B503EC" w:rsidP="00B503EC">
      <w:pPr>
        <w:pStyle w:val="Heading2"/>
        <w:rPr>
          <w:rFonts w:eastAsia="SimSun"/>
        </w:rPr>
      </w:pPr>
      <w:bookmarkStart w:id="1" w:name="_Toc131778667"/>
      <w:bookmarkEnd w:id="0"/>
      <w:r>
        <w:rPr>
          <w:rFonts w:eastAsia="SimSun"/>
        </w:rPr>
        <w:t>4.3</w:t>
      </w:r>
      <w:r>
        <w:rPr>
          <w:rFonts w:eastAsia="SimSun"/>
        </w:rPr>
        <w:tab/>
        <w:t>ETSI ISG MEC</w:t>
      </w:r>
      <w:bookmarkEnd w:id="1"/>
    </w:p>
    <w:p w14:paraId="66E86DC8" w14:textId="3823ADC7" w:rsidR="00B503EC" w:rsidRDefault="00B503EC" w:rsidP="00B503EC">
      <w:pPr>
        <w:rPr>
          <w:rFonts w:eastAsia="SimSun"/>
        </w:rPr>
      </w:pPr>
      <w:r>
        <w:rPr>
          <w:rFonts w:eastAsia="SimSun"/>
        </w:rPr>
        <w:t xml:space="preserve">Figure </w:t>
      </w:r>
      <w:del w:id="2" w:author="intel" w:date="2023-04-10T18:33:00Z">
        <w:r w:rsidDel="00AF23A9">
          <w:rPr>
            <w:rFonts w:eastAsia="SimSun"/>
          </w:rPr>
          <w:delText>6</w:delText>
        </w:r>
      </w:del>
      <w:ins w:id="3" w:author="intel" w:date="2023-04-10T18:33:00Z">
        <w:r w:rsidR="00AF23A9">
          <w:rPr>
            <w:rFonts w:eastAsia="SimSun"/>
          </w:rPr>
          <w:t>4.</w:t>
        </w:r>
      </w:ins>
      <w:ins w:id="4" w:author="intel" w:date="2023-04-10T18:34:00Z">
        <w:r w:rsidR="007C11D6">
          <w:rPr>
            <w:rFonts w:eastAsia="SimSun"/>
          </w:rPr>
          <w:t>3</w:t>
        </w:r>
      </w:ins>
      <w:r>
        <w:rPr>
          <w:rFonts w:eastAsia="SimSun"/>
        </w:rPr>
        <w:t>-1</w:t>
      </w:r>
      <w:del w:id="5" w:author="rev1" w:date="2023-04-18T17:24:00Z">
        <w:r w:rsidDel="00FB35B4">
          <w:rPr>
            <w:rFonts w:eastAsia="SimSun"/>
          </w:rPr>
          <w:delText xml:space="preserve"> in [4]</w:delText>
        </w:r>
      </w:del>
      <w:r w:rsidRPr="003C5937">
        <w:rPr>
          <w:rFonts w:eastAsia="SimSun"/>
        </w:rPr>
        <w:t xml:space="preserve"> </w:t>
      </w:r>
      <w:r>
        <w:rPr>
          <w:rFonts w:eastAsia="SimSun"/>
        </w:rPr>
        <w:t>shows the MEC reference architecture as specified by ETSI ISG MEC</w:t>
      </w:r>
      <w:ins w:id="6" w:author="rev1" w:date="2023-04-18T17:24:00Z">
        <w:r w:rsidR="00FB35B4">
          <w:rPr>
            <w:rFonts w:eastAsia="SimSun"/>
          </w:rPr>
          <w:t xml:space="preserve"> </w:t>
        </w:r>
      </w:ins>
      <w:ins w:id="7" w:author="rev1" w:date="2023-04-18T17:25:00Z">
        <w:r w:rsidR="00DE4AB7">
          <w:rPr>
            <w:rFonts w:eastAsia="SimSun"/>
          </w:rPr>
          <w:t>[4]</w:t>
        </w:r>
      </w:ins>
      <w:r>
        <w:rPr>
          <w:rFonts w:eastAsia="SimSun"/>
        </w:rPr>
        <w:t>. This reference architecture describes the functional elements that comprise the multi-access edge system and the reference points between them. It consists of MEC host and MEC management system necessary to run MEC Applications within an operator network or a subset of an operator network.</w:t>
      </w:r>
    </w:p>
    <w:p w14:paraId="7DC88FC2" w14:textId="77777777" w:rsidR="00B503EC" w:rsidRDefault="00B503EC" w:rsidP="00B503EC">
      <w:pPr>
        <w:rPr>
          <w:rFonts w:eastAsia="SimSun"/>
        </w:rPr>
      </w:pPr>
      <w:r w:rsidRPr="006B6AF5">
        <w:rPr>
          <w:rFonts w:eastAsia="SimSun"/>
        </w:rPr>
        <w:t>The MEC platform is the collection of essential functionalities required to run MEC applications on a particular</w:t>
      </w:r>
      <w:r w:rsidRPr="006B6AF5">
        <w:rPr>
          <w:rFonts w:eastAsia="SimSun"/>
        </w:rPr>
        <w:cr/>
        <w:t>Virtualisation infrastructure and enable them to provide and consume MEC services.</w:t>
      </w:r>
    </w:p>
    <w:p w14:paraId="123FFA38" w14:textId="77777777" w:rsidR="00B503EC" w:rsidRDefault="00B503EC" w:rsidP="00B503EC">
      <w:pPr>
        <w:rPr>
          <w:rFonts w:eastAsia="SimSun"/>
        </w:rPr>
      </w:pPr>
      <w:r w:rsidRPr="009F1FAE">
        <w:rPr>
          <w:rFonts w:eastAsia="SimSun"/>
        </w:rPr>
        <w:t>MEC applications are instantiated on the Virtualisation infrastructure of the MEC host based on configuration or</w:t>
      </w:r>
      <w:r w:rsidRPr="009F1FAE">
        <w:rPr>
          <w:rFonts w:eastAsia="SimSun"/>
        </w:rPr>
        <w:cr/>
        <w:t>requests validated by the MEC management.</w:t>
      </w:r>
      <w:r>
        <w:rPr>
          <w:rFonts w:eastAsia="SimSun"/>
        </w:rPr>
        <w:t xml:space="preserve"> An already instantiated MEC application can optionally register with MEC platform.  </w:t>
      </w:r>
      <w:r w:rsidRPr="0016402A">
        <w:rPr>
          <w:rFonts w:eastAsia="SimSun"/>
        </w:rPr>
        <w:t>The application registration procedure allows an authorized MEC application instance to provide its information to the</w:t>
      </w:r>
      <w:r>
        <w:rPr>
          <w:rFonts w:eastAsia="SimSun"/>
        </w:rPr>
        <w:t xml:space="preserve"> M</w:t>
      </w:r>
      <w:r w:rsidRPr="0016402A">
        <w:rPr>
          <w:rFonts w:eastAsia="SimSun"/>
        </w:rPr>
        <w:t>EC platform</w:t>
      </w:r>
      <w:r>
        <w:rPr>
          <w:rFonts w:eastAsia="SimSun"/>
        </w:rPr>
        <w:t xml:space="preserve"> [5]</w:t>
      </w:r>
      <w:r w:rsidRPr="0016402A">
        <w:rPr>
          <w:rFonts w:eastAsia="SimSun"/>
        </w:rPr>
        <w:t>.</w:t>
      </w:r>
    </w:p>
    <w:p w14:paraId="3B6EE9D2" w14:textId="77777777" w:rsidR="00B503EC" w:rsidRDefault="00B503EC" w:rsidP="00B503EC">
      <w:pPr>
        <w:rPr>
          <w:rFonts w:eastAsia="SimSun"/>
        </w:rPr>
      </w:pPr>
      <w:r w:rsidRPr="00E76789">
        <w:rPr>
          <w:rFonts w:eastAsia="SimSun"/>
        </w:rPr>
        <w:t>The Mp1 reference point between the MEC platform and the MEC applications provides service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registration, service discovery, and communication support for services. It also provides other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functionality such as application availability, session state relocation support procedures, traffic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rules and DNS rules activation, access to persistent storage and time of day information, etc.</w:t>
      </w:r>
    </w:p>
    <w:p w14:paraId="290CEEF6" w14:textId="77777777" w:rsidR="00B503EC" w:rsidRDefault="00B503EC" w:rsidP="00B503EC">
      <w:pPr>
        <w:rPr>
          <w:rFonts w:eastAsia="SimSun"/>
        </w:rPr>
      </w:pPr>
      <w:r w:rsidRPr="0044518A">
        <w:rPr>
          <w:rFonts w:eastAsia="SimSun"/>
        </w:rPr>
        <w:t>The Mp3 reference point between MEC platforms is used for control communication between</w:t>
      </w:r>
      <w:r>
        <w:rPr>
          <w:rFonts w:eastAsia="SimSun"/>
        </w:rPr>
        <w:t xml:space="preserve"> </w:t>
      </w:r>
      <w:r w:rsidRPr="0044518A">
        <w:rPr>
          <w:rFonts w:eastAsia="SimSun"/>
        </w:rPr>
        <w:t>MEC platforms.</w:t>
      </w:r>
    </w:p>
    <w:p w14:paraId="70382CC1" w14:textId="77777777" w:rsidR="00B503EC" w:rsidRPr="00873BBC" w:rsidRDefault="00B503EC" w:rsidP="00B503EC">
      <w:pPr>
        <w:rPr>
          <w:rFonts w:eastAsia="SimSun"/>
        </w:rPr>
      </w:pPr>
      <w:r>
        <w:rPr>
          <w:rFonts w:eastAsia="SimSun"/>
        </w:rPr>
        <w:t xml:space="preserve">ETSI ISG MEC also provides Multi-access system reference architecture variants for the deployment in an NFV environment and for MEC federation [4].  In [6], ETSI ISG MEC </w:t>
      </w:r>
      <w:r w:rsidRPr="00982445">
        <w:rPr>
          <w:rFonts w:eastAsia="SimSun"/>
        </w:rPr>
        <w:t xml:space="preserve">specifies </w:t>
      </w:r>
      <w:r>
        <w:rPr>
          <w:rFonts w:eastAsia="SimSun"/>
        </w:rPr>
        <w:t>“</w:t>
      </w:r>
      <w:r w:rsidRPr="00982445">
        <w:rPr>
          <w:rFonts w:eastAsia="SimSun"/>
        </w:rPr>
        <w:t>Federation enablement APIs</w:t>
      </w:r>
      <w:r>
        <w:rPr>
          <w:rFonts w:eastAsia="SimSun"/>
        </w:rPr>
        <w:t>”</w:t>
      </w:r>
      <w:r w:rsidRPr="00982445">
        <w:rPr>
          <w:rFonts w:eastAsia="SimSun"/>
        </w:rPr>
        <w:t xml:space="preserve"> that enable the shared usage of MEC services and</w:t>
      </w:r>
      <w:r>
        <w:rPr>
          <w:rFonts w:eastAsia="SimSun"/>
        </w:rPr>
        <w:t xml:space="preserve"> </w:t>
      </w:r>
      <w:r w:rsidRPr="00982445">
        <w:rPr>
          <w:rFonts w:eastAsia="SimSun"/>
        </w:rPr>
        <w:t>applications across different systems (e.g.</w:t>
      </w:r>
      <w:r>
        <w:rPr>
          <w:rFonts w:eastAsia="SimSun"/>
        </w:rPr>
        <w:t>,</w:t>
      </w:r>
      <w:r w:rsidRPr="00982445">
        <w:rPr>
          <w:rFonts w:eastAsia="SimSun"/>
        </w:rPr>
        <w:t xml:space="preserve"> MEC system, Cloud system).</w:t>
      </w:r>
    </w:p>
    <w:p w14:paraId="5153C8C0" w14:textId="77777777" w:rsidR="007C11D6" w:rsidRDefault="007C11D6" w:rsidP="007C11D6">
      <w:pPr>
        <w:jc w:val="center"/>
        <w:rPr>
          <w:ins w:id="8" w:author="intel" w:date="2023-04-10T18:34:00Z"/>
        </w:rPr>
      </w:pPr>
      <w:ins w:id="9" w:author="intel" w:date="2023-04-10T18:34:00Z">
        <w:r>
          <w:rPr>
            <w:noProof/>
          </w:rPr>
          <w:lastRenderedPageBreak/>
          <w:drawing>
            <wp:inline distT="0" distB="0" distL="0" distR="0" wp14:anchorId="14C7D7F8" wp14:editId="51B506BB">
              <wp:extent cx="5365750" cy="3520943"/>
              <wp:effectExtent l="0" t="0" r="635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0016" cy="3523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494AD0" w14:textId="10BFDD47" w:rsidR="007C11D6" w:rsidRDefault="007C11D6" w:rsidP="007C11D6">
      <w:pPr>
        <w:pStyle w:val="TF"/>
        <w:rPr>
          <w:ins w:id="10" w:author="intel" w:date="2023-04-10T18:34:00Z"/>
        </w:rPr>
      </w:pPr>
      <w:ins w:id="11" w:author="intel" w:date="2023-04-10T18:34:00Z">
        <w:r>
          <w:t>Figure 4.3-1 Multi-access Edge System reference architecture</w:t>
        </w:r>
        <w:r w:rsidR="003F083C">
          <w:t xml:space="preserve"> [4]</w:t>
        </w:r>
      </w:ins>
    </w:p>
    <w:p w14:paraId="3619DCB4" w14:textId="77777777" w:rsidR="00B503EC" w:rsidRDefault="00B503EC" w:rsidP="00B503EC">
      <w:pPr>
        <w:pStyle w:val="TF"/>
        <w:jc w:val="left"/>
        <w:rPr>
          <w:b w:val="0"/>
          <w:bCs/>
        </w:rPr>
      </w:pPr>
    </w:p>
    <w:p w14:paraId="1934B125" w14:textId="73699161" w:rsidR="00B503EC" w:rsidRPr="005E7BB9" w:rsidDel="00B503EC" w:rsidRDefault="00B503EC" w:rsidP="00B503EC">
      <w:pPr>
        <w:rPr>
          <w:del w:id="12" w:author="intel" w:date="2023-04-10T18:29:00Z"/>
          <w:rFonts w:eastAsia="SimSun"/>
          <w:color w:val="FF0000"/>
        </w:rPr>
      </w:pPr>
      <w:del w:id="13" w:author="intel" w:date="2023-04-10T18:29:00Z">
        <w:r w:rsidRPr="005E7BB9" w:rsidDel="00B503EC">
          <w:rPr>
            <w:rFonts w:eastAsia="SimSun"/>
            <w:color w:val="FF0000"/>
          </w:rPr>
          <w:delText>Editor’s Note: Figure 6-1 in [4] can be inserted here once the copyright is obtained from ETSI MEC.</w:delText>
        </w:r>
      </w:del>
    </w:p>
    <w:p w14:paraId="10185227" w14:textId="383FC741" w:rsidR="00170B75" w:rsidRPr="00036B3E" w:rsidRDefault="00170B75" w:rsidP="00170B75">
      <w:pPr>
        <w:pStyle w:val="TF"/>
        <w:jc w:val="left"/>
        <w:rPr>
          <w:rFonts w:ascii="Times New Roman" w:eastAsia="SimSun" w:hAnsi="Times New Roman"/>
          <w:b w:val="0"/>
        </w:rPr>
      </w:pPr>
    </w:p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B267E" w14:textId="77777777" w:rsidR="00235AC2" w:rsidRDefault="00235AC2">
      <w:r>
        <w:separator/>
      </w:r>
    </w:p>
  </w:endnote>
  <w:endnote w:type="continuationSeparator" w:id="0">
    <w:p w14:paraId="1CDEB903" w14:textId="77777777" w:rsidR="00235AC2" w:rsidRDefault="0023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FA8BD" w14:textId="77777777" w:rsidR="00235AC2" w:rsidRDefault="00235AC2">
      <w:r>
        <w:separator/>
      </w:r>
    </w:p>
  </w:footnote>
  <w:footnote w:type="continuationSeparator" w:id="0">
    <w:p w14:paraId="4DC2CA31" w14:textId="77777777" w:rsidR="00235AC2" w:rsidRDefault="0023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5747"/>
    <w:rsid w:val="00016CD8"/>
    <w:rsid w:val="00022E4A"/>
    <w:rsid w:val="000269A1"/>
    <w:rsid w:val="00027D95"/>
    <w:rsid w:val="00033AC8"/>
    <w:rsid w:val="00036B3E"/>
    <w:rsid w:val="000372E7"/>
    <w:rsid w:val="000429C6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9127F"/>
    <w:rsid w:val="000A5883"/>
    <w:rsid w:val="000A61D7"/>
    <w:rsid w:val="000A6394"/>
    <w:rsid w:val="000B305B"/>
    <w:rsid w:val="000B6208"/>
    <w:rsid w:val="000B7FED"/>
    <w:rsid w:val="000C038A"/>
    <w:rsid w:val="000C1B6E"/>
    <w:rsid w:val="000C2E75"/>
    <w:rsid w:val="000C6598"/>
    <w:rsid w:val="000C7816"/>
    <w:rsid w:val="000D44B3"/>
    <w:rsid w:val="000E230B"/>
    <w:rsid w:val="000E6348"/>
    <w:rsid w:val="000E74FB"/>
    <w:rsid w:val="000E7DDA"/>
    <w:rsid w:val="000F4614"/>
    <w:rsid w:val="00100E03"/>
    <w:rsid w:val="00101491"/>
    <w:rsid w:val="00101E04"/>
    <w:rsid w:val="00103DDF"/>
    <w:rsid w:val="0010789B"/>
    <w:rsid w:val="00112B38"/>
    <w:rsid w:val="00114782"/>
    <w:rsid w:val="00122EC8"/>
    <w:rsid w:val="00131805"/>
    <w:rsid w:val="00131A5B"/>
    <w:rsid w:val="00134CFE"/>
    <w:rsid w:val="00135888"/>
    <w:rsid w:val="00143567"/>
    <w:rsid w:val="00144AE4"/>
    <w:rsid w:val="00145D43"/>
    <w:rsid w:val="00153C79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BEF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05543"/>
    <w:rsid w:val="00207729"/>
    <w:rsid w:val="002134F8"/>
    <w:rsid w:val="00216169"/>
    <w:rsid w:val="00220664"/>
    <w:rsid w:val="00235AC2"/>
    <w:rsid w:val="002367F5"/>
    <w:rsid w:val="00237A7D"/>
    <w:rsid w:val="00252B47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900DE"/>
    <w:rsid w:val="002903EB"/>
    <w:rsid w:val="00296A97"/>
    <w:rsid w:val="002B5741"/>
    <w:rsid w:val="002C01AF"/>
    <w:rsid w:val="002C1495"/>
    <w:rsid w:val="002C2C1E"/>
    <w:rsid w:val="002C56C0"/>
    <w:rsid w:val="002D2BB0"/>
    <w:rsid w:val="002E472E"/>
    <w:rsid w:val="00300CA6"/>
    <w:rsid w:val="00305409"/>
    <w:rsid w:val="00316606"/>
    <w:rsid w:val="00333EB5"/>
    <w:rsid w:val="00334503"/>
    <w:rsid w:val="003364B5"/>
    <w:rsid w:val="003369DD"/>
    <w:rsid w:val="003434A4"/>
    <w:rsid w:val="0034388A"/>
    <w:rsid w:val="0035177C"/>
    <w:rsid w:val="003609EF"/>
    <w:rsid w:val="0036231A"/>
    <w:rsid w:val="00364B5A"/>
    <w:rsid w:val="0036513D"/>
    <w:rsid w:val="00366A2A"/>
    <w:rsid w:val="00367EAA"/>
    <w:rsid w:val="0037294E"/>
    <w:rsid w:val="00374DD4"/>
    <w:rsid w:val="00392451"/>
    <w:rsid w:val="0039702D"/>
    <w:rsid w:val="00397953"/>
    <w:rsid w:val="00397F26"/>
    <w:rsid w:val="003A3B6E"/>
    <w:rsid w:val="003A6E6C"/>
    <w:rsid w:val="003B05FC"/>
    <w:rsid w:val="003B1100"/>
    <w:rsid w:val="003C2CC6"/>
    <w:rsid w:val="003D5FA7"/>
    <w:rsid w:val="003E14A3"/>
    <w:rsid w:val="003E1A36"/>
    <w:rsid w:val="003E3054"/>
    <w:rsid w:val="003E3B21"/>
    <w:rsid w:val="003F083C"/>
    <w:rsid w:val="003F6372"/>
    <w:rsid w:val="003F70A4"/>
    <w:rsid w:val="00401FC4"/>
    <w:rsid w:val="00402043"/>
    <w:rsid w:val="00407532"/>
    <w:rsid w:val="00410371"/>
    <w:rsid w:val="00414812"/>
    <w:rsid w:val="004242F1"/>
    <w:rsid w:val="00434A1E"/>
    <w:rsid w:val="004375E9"/>
    <w:rsid w:val="00437C82"/>
    <w:rsid w:val="00442A75"/>
    <w:rsid w:val="00443418"/>
    <w:rsid w:val="00444AE2"/>
    <w:rsid w:val="0044518A"/>
    <w:rsid w:val="00453956"/>
    <w:rsid w:val="00456D3A"/>
    <w:rsid w:val="00471EEA"/>
    <w:rsid w:val="0047258B"/>
    <w:rsid w:val="00477A52"/>
    <w:rsid w:val="0048122C"/>
    <w:rsid w:val="00486B80"/>
    <w:rsid w:val="004905C7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FCA"/>
    <w:rsid w:val="004D4A42"/>
    <w:rsid w:val="004E1CCB"/>
    <w:rsid w:val="00506CA4"/>
    <w:rsid w:val="005132CE"/>
    <w:rsid w:val="005141D9"/>
    <w:rsid w:val="0051580D"/>
    <w:rsid w:val="0051642F"/>
    <w:rsid w:val="00525E16"/>
    <w:rsid w:val="0054487A"/>
    <w:rsid w:val="00546963"/>
    <w:rsid w:val="00547111"/>
    <w:rsid w:val="00551546"/>
    <w:rsid w:val="00553477"/>
    <w:rsid w:val="00556D21"/>
    <w:rsid w:val="00562366"/>
    <w:rsid w:val="00562CB2"/>
    <w:rsid w:val="00565F05"/>
    <w:rsid w:val="00566FC9"/>
    <w:rsid w:val="00570BA2"/>
    <w:rsid w:val="00570E0E"/>
    <w:rsid w:val="005765DB"/>
    <w:rsid w:val="0058329A"/>
    <w:rsid w:val="00587D02"/>
    <w:rsid w:val="00592D74"/>
    <w:rsid w:val="0059435F"/>
    <w:rsid w:val="00596AA9"/>
    <w:rsid w:val="005A0A2F"/>
    <w:rsid w:val="005A64FC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60719E"/>
    <w:rsid w:val="00607F18"/>
    <w:rsid w:val="0061017A"/>
    <w:rsid w:val="0061688F"/>
    <w:rsid w:val="00621188"/>
    <w:rsid w:val="006257ED"/>
    <w:rsid w:val="00626666"/>
    <w:rsid w:val="006268C0"/>
    <w:rsid w:val="00631CDF"/>
    <w:rsid w:val="00637F79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74E31"/>
    <w:rsid w:val="00691430"/>
    <w:rsid w:val="00695808"/>
    <w:rsid w:val="006A471C"/>
    <w:rsid w:val="006A5169"/>
    <w:rsid w:val="006B44DE"/>
    <w:rsid w:val="006B46FB"/>
    <w:rsid w:val="006B67F8"/>
    <w:rsid w:val="006B6AF5"/>
    <w:rsid w:val="006C61B9"/>
    <w:rsid w:val="006D016C"/>
    <w:rsid w:val="006D6AFD"/>
    <w:rsid w:val="006D7C49"/>
    <w:rsid w:val="006E04E1"/>
    <w:rsid w:val="006E0AFA"/>
    <w:rsid w:val="006E21FB"/>
    <w:rsid w:val="006E344C"/>
    <w:rsid w:val="006E61C9"/>
    <w:rsid w:val="006F2897"/>
    <w:rsid w:val="00712A62"/>
    <w:rsid w:val="00716401"/>
    <w:rsid w:val="007255D2"/>
    <w:rsid w:val="00726502"/>
    <w:rsid w:val="00730ABC"/>
    <w:rsid w:val="00734A58"/>
    <w:rsid w:val="00743176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11D6"/>
    <w:rsid w:val="007C2097"/>
    <w:rsid w:val="007C3996"/>
    <w:rsid w:val="007C60D8"/>
    <w:rsid w:val="007D0633"/>
    <w:rsid w:val="007D6A07"/>
    <w:rsid w:val="007E32FF"/>
    <w:rsid w:val="007E49D4"/>
    <w:rsid w:val="007E6B00"/>
    <w:rsid w:val="007F0F56"/>
    <w:rsid w:val="007F1EA0"/>
    <w:rsid w:val="007F7259"/>
    <w:rsid w:val="007F7916"/>
    <w:rsid w:val="008000C8"/>
    <w:rsid w:val="00802678"/>
    <w:rsid w:val="008040A8"/>
    <w:rsid w:val="00811BA0"/>
    <w:rsid w:val="00824028"/>
    <w:rsid w:val="008279FA"/>
    <w:rsid w:val="00836925"/>
    <w:rsid w:val="00837264"/>
    <w:rsid w:val="008376B2"/>
    <w:rsid w:val="0084099E"/>
    <w:rsid w:val="00842E29"/>
    <w:rsid w:val="008432D7"/>
    <w:rsid w:val="00852908"/>
    <w:rsid w:val="00857BF8"/>
    <w:rsid w:val="008606AA"/>
    <w:rsid w:val="008626E7"/>
    <w:rsid w:val="00870EE7"/>
    <w:rsid w:val="00873BBC"/>
    <w:rsid w:val="00885E69"/>
    <w:rsid w:val="008863B9"/>
    <w:rsid w:val="00887592"/>
    <w:rsid w:val="008A00C1"/>
    <w:rsid w:val="008A110A"/>
    <w:rsid w:val="008A206C"/>
    <w:rsid w:val="008A45A6"/>
    <w:rsid w:val="008A7A35"/>
    <w:rsid w:val="008C303F"/>
    <w:rsid w:val="008C6C8E"/>
    <w:rsid w:val="008C76E6"/>
    <w:rsid w:val="008D11A5"/>
    <w:rsid w:val="008D3CCC"/>
    <w:rsid w:val="008D6654"/>
    <w:rsid w:val="008D69D8"/>
    <w:rsid w:val="008F3789"/>
    <w:rsid w:val="008F686C"/>
    <w:rsid w:val="0090036D"/>
    <w:rsid w:val="00904D42"/>
    <w:rsid w:val="009148DE"/>
    <w:rsid w:val="0092440C"/>
    <w:rsid w:val="00935406"/>
    <w:rsid w:val="00936EC9"/>
    <w:rsid w:val="00941E30"/>
    <w:rsid w:val="00950801"/>
    <w:rsid w:val="00952144"/>
    <w:rsid w:val="0095280A"/>
    <w:rsid w:val="0096148C"/>
    <w:rsid w:val="00963927"/>
    <w:rsid w:val="00963935"/>
    <w:rsid w:val="0097393A"/>
    <w:rsid w:val="0097775A"/>
    <w:rsid w:val="009777D9"/>
    <w:rsid w:val="00977B5C"/>
    <w:rsid w:val="00985054"/>
    <w:rsid w:val="009863DF"/>
    <w:rsid w:val="00987C6F"/>
    <w:rsid w:val="00987DF3"/>
    <w:rsid w:val="00991B88"/>
    <w:rsid w:val="00992EE1"/>
    <w:rsid w:val="009A2A67"/>
    <w:rsid w:val="009A380B"/>
    <w:rsid w:val="009A5753"/>
    <w:rsid w:val="009A579D"/>
    <w:rsid w:val="009A65C5"/>
    <w:rsid w:val="009B084F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734F"/>
    <w:rsid w:val="00A0134F"/>
    <w:rsid w:val="00A041A4"/>
    <w:rsid w:val="00A0771D"/>
    <w:rsid w:val="00A10C02"/>
    <w:rsid w:val="00A16496"/>
    <w:rsid w:val="00A21497"/>
    <w:rsid w:val="00A2202E"/>
    <w:rsid w:val="00A221BA"/>
    <w:rsid w:val="00A246B6"/>
    <w:rsid w:val="00A328EE"/>
    <w:rsid w:val="00A3576E"/>
    <w:rsid w:val="00A362B8"/>
    <w:rsid w:val="00A47E70"/>
    <w:rsid w:val="00A506C2"/>
    <w:rsid w:val="00A50775"/>
    <w:rsid w:val="00A50CF0"/>
    <w:rsid w:val="00A534E7"/>
    <w:rsid w:val="00A546FD"/>
    <w:rsid w:val="00A62DE2"/>
    <w:rsid w:val="00A62E77"/>
    <w:rsid w:val="00A63102"/>
    <w:rsid w:val="00A65BFA"/>
    <w:rsid w:val="00A71080"/>
    <w:rsid w:val="00A71094"/>
    <w:rsid w:val="00A7671C"/>
    <w:rsid w:val="00A83647"/>
    <w:rsid w:val="00A85927"/>
    <w:rsid w:val="00A86116"/>
    <w:rsid w:val="00AA0516"/>
    <w:rsid w:val="00AA12C9"/>
    <w:rsid w:val="00AA2CBC"/>
    <w:rsid w:val="00AA2E1A"/>
    <w:rsid w:val="00AB3DA9"/>
    <w:rsid w:val="00AB3F98"/>
    <w:rsid w:val="00AB495D"/>
    <w:rsid w:val="00AB5406"/>
    <w:rsid w:val="00AC0455"/>
    <w:rsid w:val="00AC1D72"/>
    <w:rsid w:val="00AC39B8"/>
    <w:rsid w:val="00AC3D6C"/>
    <w:rsid w:val="00AC5820"/>
    <w:rsid w:val="00AC7FE3"/>
    <w:rsid w:val="00AD086E"/>
    <w:rsid w:val="00AD1CD8"/>
    <w:rsid w:val="00AD2162"/>
    <w:rsid w:val="00AD5F3E"/>
    <w:rsid w:val="00AE10F1"/>
    <w:rsid w:val="00AF23A9"/>
    <w:rsid w:val="00B00E70"/>
    <w:rsid w:val="00B029EB"/>
    <w:rsid w:val="00B11990"/>
    <w:rsid w:val="00B119C4"/>
    <w:rsid w:val="00B124D2"/>
    <w:rsid w:val="00B13C5E"/>
    <w:rsid w:val="00B16E1F"/>
    <w:rsid w:val="00B1730C"/>
    <w:rsid w:val="00B20125"/>
    <w:rsid w:val="00B24290"/>
    <w:rsid w:val="00B258BB"/>
    <w:rsid w:val="00B26164"/>
    <w:rsid w:val="00B26D1D"/>
    <w:rsid w:val="00B3146B"/>
    <w:rsid w:val="00B4478E"/>
    <w:rsid w:val="00B44A02"/>
    <w:rsid w:val="00B4787C"/>
    <w:rsid w:val="00B47FE9"/>
    <w:rsid w:val="00B503EC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68C8"/>
    <w:rsid w:val="00B96C74"/>
    <w:rsid w:val="00BA3EC5"/>
    <w:rsid w:val="00BA48ED"/>
    <w:rsid w:val="00BA51D9"/>
    <w:rsid w:val="00BB11D6"/>
    <w:rsid w:val="00BB5DFC"/>
    <w:rsid w:val="00BC1BA9"/>
    <w:rsid w:val="00BD279D"/>
    <w:rsid w:val="00BD4A1F"/>
    <w:rsid w:val="00BD6BB8"/>
    <w:rsid w:val="00BD7EF8"/>
    <w:rsid w:val="00BE21EE"/>
    <w:rsid w:val="00BF3CD4"/>
    <w:rsid w:val="00BF63D9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6E53"/>
    <w:rsid w:val="00C66BA2"/>
    <w:rsid w:val="00C73B1E"/>
    <w:rsid w:val="00C76301"/>
    <w:rsid w:val="00C83A43"/>
    <w:rsid w:val="00C840F6"/>
    <w:rsid w:val="00C870F6"/>
    <w:rsid w:val="00C95985"/>
    <w:rsid w:val="00CB268C"/>
    <w:rsid w:val="00CB590D"/>
    <w:rsid w:val="00CC4B03"/>
    <w:rsid w:val="00CC5026"/>
    <w:rsid w:val="00CC68D0"/>
    <w:rsid w:val="00CE6344"/>
    <w:rsid w:val="00CE656D"/>
    <w:rsid w:val="00CE6864"/>
    <w:rsid w:val="00CE6EDB"/>
    <w:rsid w:val="00CF039F"/>
    <w:rsid w:val="00CF0EA5"/>
    <w:rsid w:val="00CF3F98"/>
    <w:rsid w:val="00CF7557"/>
    <w:rsid w:val="00D02615"/>
    <w:rsid w:val="00D03F9A"/>
    <w:rsid w:val="00D05AE9"/>
    <w:rsid w:val="00D06D51"/>
    <w:rsid w:val="00D078DB"/>
    <w:rsid w:val="00D1535F"/>
    <w:rsid w:val="00D16330"/>
    <w:rsid w:val="00D203C9"/>
    <w:rsid w:val="00D20765"/>
    <w:rsid w:val="00D2089A"/>
    <w:rsid w:val="00D24991"/>
    <w:rsid w:val="00D26CF2"/>
    <w:rsid w:val="00D308C7"/>
    <w:rsid w:val="00D318F3"/>
    <w:rsid w:val="00D35291"/>
    <w:rsid w:val="00D40CBF"/>
    <w:rsid w:val="00D40FAC"/>
    <w:rsid w:val="00D415DA"/>
    <w:rsid w:val="00D44D46"/>
    <w:rsid w:val="00D50255"/>
    <w:rsid w:val="00D663D4"/>
    <w:rsid w:val="00D66520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4306"/>
    <w:rsid w:val="00DA4BFC"/>
    <w:rsid w:val="00DA780F"/>
    <w:rsid w:val="00DA7EB4"/>
    <w:rsid w:val="00DB0ED4"/>
    <w:rsid w:val="00DB1232"/>
    <w:rsid w:val="00DC1412"/>
    <w:rsid w:val="00DC3534"/>
    <w:rsid w:val="00DD11AF"/>
    <w:rsid w:val="00DD57FE"/>
    <w:rsid w:val="00DD655B"/>
    <w:rsid w:val="00DE2EDA"/>
    <w:rsid w:val="00DE34CF"/>
    <w:rsid w:val="00DE4AB7"/>
    <w:rsid w:val="00DF0C39"/>
    <w:rsid w:val="00DF0D21"/>
    <w:rsid w:val="00E00273"/>
    <w:rsid w:val="00E05465"/>
    <w:rsid w:val="00E07BB6"/>
    <w:rsid w:val="00E1334D"/>
    <w:rsid w:val="00E13884"/>
    <w:rsid w:val="00E13F3D"/>
    <w:rsid w:val="00E17473"/>
    <w:rsid w:val="00E17C55"/>
    <w:rsid w:val="00E21B7F"/>
    <w:rsid w:val="00E34898"/>
    <w:rsid w:val="00E4063B"/>
    <w:rsid w:val="00E4164F"/>
    <w:rsid w:val="00E43F31"/>
    <w:rsid w:val="00E454AB"/>
    <w:rsid w:val="00E61BAB"/>
    <w:rsid w:val="00E725A9"/>
    <w:rsid w:val="00E72B7F"/>
    <w:rsid w:val="00E76510"/>
    <w:rsid w:val="00E76789"/>
    <w:rsid w:val="00E85764"/>
    <w:rsid w:val="00E85BCD"/>
    <w:rsid w:val="00E933F1"/>
    <w:rsid w:val="00E938A4"/>
    <w:rsid w:val="00E95C9C"/>
    <w:rsid w:val="00EA57CD"/>
    <w:rsid w:val="00EB09B7"/>
    <w:rsid w:val="00EB1D51"/>
    <w:rsid w:val="00EC1008"/>
    <w:rsid w:val="00ED0956"/>
    <w:rsid w:val="00ED3223"/>
    <w:rsid w:val="00ED543A"/>
    <w:rsid w:val="00EE5F5A"/>
    <w:rsid w:val="00EE7D7C"/>
    <w:rsid w:val="00EF58FA"/>
    <w:rsid w:val="00F12B0B"/>
    <w:rsid w:val="00F12CAE"/>
    <w:rsid w:val="00F14D14"/>
    <w:rsid w:val="00F22509"/>
    <w:rsid w:val="00F25D98"/>
    <w:rsid w:val="00F300FB"/>
    <w:rsid w:val="00F34165"/>
    <w:rsid w:val="00F34E10"/>
    <w:rsid w:val="00F40B44"/>
    <w:rsid w:val="00F41A4F"/>
    <w:rsid w:val="00F46E98"/>
    <w:rsid w:val="00F50937"/>
    <w:rsid w:val="00F579E8"/>
    <w:rsid w:val="00F67F62"/>
    <w:rsid w:val="00F70ED2"/>
    <w:rsid w:val="00F8239C"/>
    <w:rsid w:val="00F90C9D"/>
    <w:rsid w:val="00FA116E"/>
    <w:rsid w:val="00FA2721"/>
    <w:rsid w:val="00FB0727"/>
    <w:rsid w:val="00FB35B4"/>
    <w:rsid w:val="00FB6386"/>
    <w:rsid w:val="00FC1FDA"/>
    <w:rsid w:val="00FC258F"/>
    <w:rsid w:val="00FC2A91"/>
    <w:rsid w:val="00FD1CFC"/>
    <w:rsid w:val="00FD2703"/>
    <w:rsid w:val="00FE44F7"/>
    <w:rsid w:val="00FE62EA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1832</TotalTime>
  <Pages>2</Pages>
  <Words>394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518</cp:revision>
  <cp:lastPrinted>1899-12-31T23:00:00Z</cp:lastPrinted>
  <dcterms:created xsi:type="dcterms:W3CDTF">2020-02-03T08:32:00Z</dcterms:created>
  <dcterms:modified xsi:type="dcterms:W3CDTF">2023-04-24T10:09:00Z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